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8A" w:rsidRDefault="00FC2699">
      <w:pPr>
        <w:jc w:val="center"/>
      </w:pPr>
      <w:bookmarkStart w:id="0" w:name="_GoBack"/>
      <w:bookmarkEnd w:id="0"/>
      <w:r>
        <w:rPr>
          <w:b/>
          <w:bCs/>
          <w:color w:val="000000"/>
        </w:rPr>
        <w:t xml:space="preserve">Департамент промышленности Ханты-Мансийского автономного округа – Югры извещает о проведении конкурса </w:t>
      </w:r>
      <w:r>
        <w:rPr>
          <w:b/>
        </w:rPr>
        <w:t>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C6638A" w:rsidRDefault="00C6638A">
      <w:pPr>
        <w:jc w:val="center"/>
        <w:rPr>
          <w:b/>
          <w:bCs/>
          <w:color w:val="000000"/>
        </w:rPr>
      </w:pPr>
    </w:p>
    <w:tbl>
      <w:tblPr>
        <w:tblW w:w="10547" w:type="dxa"/>
        <w:tblInd w:w="-61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"/>
        <w:gridCol w:w="9885"/>
      </w:tblGrid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ind w:firstLine="397"/>
              <w:jc w:val="both"/>
            </w:pPr>
            <w:r>
              <w:t>Конкурс проводится по следующим направлениям:</w:t>
            </w:r>
          </w:p>
          <w:p w:rsidR="00C6638A" w:rsidRDefault="00FC2699">
            <w:pPr>
              <w:ind w:firstLine="397"/>
              <w:jc w:val="both"/>
            </w:pPr>
            <w:r>
              <w:t>1.1. Развитие и создание дополнительных объектов туристской индустрии, реконструкция имеющихся объектов туристской индустрии: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- 2500,0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- 2000,0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- 500,0 тыс. рублей.</w:t>
            </w:r>
          </w:p>
          <w:p w:rsidR="00C6638A" w:rsidRDefault="00FC2699">
            <w:pPr>
              <w:ind w:firstLine="397"/>
              <w:jc w:val="both"/>
            </w:pPr>
            <w:r>
              <w:t>1.2.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- 300,0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- 200,0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- 100,0 тыс. рублей.</w:t>
            </w:r>
          </w:p>
          <w:p w:rsidR="00C6638A" w:rsidRDefault="00FC2699">
            <w:pPr>
              <w:ind w:firstLine="397"/>
              <w:jc w:val="both"/>
            </w:pPr>
            <w:r>
              <w:t>1.3. Развитие индустрии туристских сувениров (в том числе с этнографической составляющей):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- 700,0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- 600,0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- 500,0 тыс. рублей.</w:t>
            </w:r>
          </w:p>
          <w:p w:rsidR="00C6638A" w:rsidRDefault="00FC2699">
            <w:pPr>
              <w:ind w:firstLine="397"/>
              <w:jc w:val="both"/>
            </w:pPr>
            <w:r>
              <w:t>1.4. Продвижение туристского продукта автономного округа (в сфере внутреннего и въездного туризма, в том числе этнографического туризма):</w:t>
            </w:r>
          </w:p>
          <w:p w:rsidR="00C6638A" w:rsidRDefault="00FC2699">
            <w:pPr>
              <w:ind w:firstLine="397"/>
              <w:jc w:val="both"/>
            </w:pPr>
            <w:r>
              <w:t>грант 1 степени - 700,0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2 степени - 600,0 тыс. рублей;</w:t>
            </w:r>
          </w:p>
          <w:p w:rsidR="00C6638A" w:rsidRDefault="00FC2699">
            <w:pPr>
              <w:ind w:firstLine="397"/>
              <w:jc w:val="both"/>
            </w:pPr>
            <w:r>
              <w:t>грант 3 степени - 500,0 тыс. рублей.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8A" w:rsidRDefault="00FC2699">
            <w:pPr>
              <w:ind w:firstLine="397"/>
              <w:jc w:val="both"/>
            </w:pPr>
            <w:r>
              <w:t>Срок, адрес и порядок предоставления конкурсной документации.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Перечень документов для участия в Конкурсе доступен для ознакомления в электронном виде с 09 часов 00 минут 06 февраля 2020 до 17 часов 00 минут 23 апреля 2020 на информационном сайте 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depprom</w:t>
            </w:r>
            <w:r>
              <w:t>.</w:t>
            </w:r>
            <w:r>
              <w:rPr>
                <w:lang w:val="en-US"/>
              </w:rPr>
              <w:t>admhmao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в разделе «Деятельность/Туризм в Югре» и тематическом сайте https://tourism.admhmao.ru в разделе «Государственная поддержка туризма», а также предоставляется уполномоченным органом по адресу: 628011, Ханты-Мансийский автономный округ – Югра, г. Ханты-Мансийск, ул. Студенческая 2, Управлением туризма Департамента промышленности Ханты-Мансийского автономного округа – Югры, 1 этаж, каб. 172. Плата за предоставление документации не взимается.</w:t>
            </w:r>
          </w:p>
          <w:p w:rsidR="00C6638A" w:rsidRDefault="00FC2699">
            <w:pPr>
              <w:ind w:firstLine="397"/>
              <w:jc w:val="both"/>
            </w:pPr>
            <w:r>
              <w:t>Период подачи соискателями конкурсной документации с 09 часов 00 часов 19 февраля 2020 года до 17 часов 00 минут 18 марта 2020 года.</w:t>
            </w:r>
          </w:p>
          <w:p w:rsidR="00C6638A" w:rsidRDefault="00FC2699">
            <w:pPr>
              <w:ind w:firstLine="397"/>
              <w:jc w:val="both"/>
            </w:pPr>
            <w:r>
              <w:t>Конкурсная документация подается на бумажном носителе непосредственно и (или) по почте в адрес Управления туризма Департамента промышленности Ханты-Мансийского автономного округа – Югры, указанного на официальном сайте «Туризм в Югре» www.tourism.admhmao.ru, письмом с уведомлением о вручении, либо в электронном виде по адресу электронной почты: depprom@admhmao.ru. и (или) по почте письмом с уведомлением о вручении.</w:t>
            </w:r>
          </w:p>
          <w:p w:rsidR="00C6638A" w:rsidRDefault="00FC2699">
            <w:pPr>
              <w:ind w:firstLine="397"/>
              <w:jc w:val="both"/>
            </w:pPr>
            <w:r>
              <w:t>При подаче документов на бумажном носителе все листы должны быть пронумерованы, подписаны лицом, уполномоченным надлежащим образом, и представлены в запечатанном конверте, на котором указываются: наименование соискателя, почтовый адрес и выполняется запись: «На конкурс по предоставлению грантов в сфере туризма».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ind w:firstLine="397"/>
              <w:jc w:val="both"/>
            </w:pPr>
            <w:r>
              <w:t>Условия участия в Конкурсе.</w:t>
            </w:r>
          </w:p>
          <w:p w:rsidR="00C6638A" w:rsidRDefault="00FC2699">
            <w:pPr>
              <w:ind w:firstLine="397"/>
              <w:jc w:val="both"/>
            </w:pPr>
            <w:r>
              <w:t>К участию в Конкурсе допускаются соискатели, соответствующие на первое число месяца, предшествующего месяцу, в котором планируется заключение Соглашения о предоставлении гранта:</w:t>
            </w:r>
          </w:p>
          <w:p w:rsidR="00C6638A" w:rsidRDefault="00FC2699">
            <w:pPr>
              <w:ind w:firstLine="397"/>
              <w:jc w:val="both"/>
            </w:pPr>
            <w:r>
              <w:t xml:space="preserve">3.1.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постановлением Государственного комитета Российской Федерации по стандартизации и метрологии от 6 ноября 2001 года N 454-ст «О принятии и </w:t>
            </w:r>
            <w:r>
              <w:lastRenderedPageBreak/>
              <w:t>введении в действие ОКВЭД»;</w:t>
            </w:r>
          </w:p>
          <w:p w:rsidR="00C6638A" w:rsidRDefault="00FC2699">
            <w:pPr>
              <w:ind w:firstLine="397"/>
              <w:jc w:val="both"/>
            </w:pPr>
            <w:r>
              <w:t>3.2. по направлениям, указанным в подпунктах 1.1, 1.2 Извещения, должны осуществлять деятельность по следующим ОКВЭД:</w:t>
            </w:r>
          </w:p>
          <w:tbl>
            <w:tblPr>
              <w:tblW w:w="9071" w:type="dxa"/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871"/>
              <w:gridCol w:w="6635"/>
            </w:tblGrid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Код группировок видов экономической деятельности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Вид экономической деятельности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55.1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гостиниц и прочих мест для временного проживания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55.2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предоставлению мест для краткосрочного проживания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56.10.1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туристических агентств и туроператоров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79.90.21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туристических агентств по предоставлению экскурсионных туристических услуг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82.3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организации конференций и выставок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86.90.4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санаторно-курортных организаций</w:t>
                  </w:r>
                </w:p>
              </w:tc>
            </w:tr>
          </w:tbl>
          <w:p w:rsidR="00C6638A" w:rsidRDefault="00C6638A">
            <w:pPr>
              <w:jc w:val="both"/>
            </w:pPr>
          </w:p>
          <w:p w:rsidR="00C6638A" w:rsidRDefault="00FC2699">
            <w:pPr>
              <w:ind w:firstLine="397"/>
              <w:jc w:val="both"/>
            </w:pPr>
            <w:r>
              <w:t>3.3. по направлению, указанному в подпункте 1.3 Извещения, должны осуществлять деятельность по следующим ОКВЭД:</w:t>
            </w:r>
          </w:p>
          <w:tbl>
            <w:tblPr>
              <w:tblW w:w="9071" w:type="dxa"/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871"/>
              <w:gridCol w:w="6635"/>
            </w:tblGrid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14.11.1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одежды из кожи, кроме изготовленных по индивидуальному заказу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14.13.1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верхней трикотажной или вязаной одежды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14.13.2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верхней одежды из текстильных материалов, кроме трикотажных или вязаных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14.19.1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14.19.23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14.19.31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аксессуаров одежды из натуральной или композиционной кожи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14.20.1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меховых изделий, кроме изготовленных по индивидуальному заказу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16.29.13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16.29.14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 xml:space="preserve">Производство деревянных рам для картин, фотографий, зеркал </w:t>
                  </w:r>
                  <w:r>
                    <w:lastRenderedPageBreak/>
                    <w:t>или аналогичных предметов и прочих изделий из дерева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16.29.23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корзиночных и плетеных изделий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23.41.1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столовой и кухонной керамической посуды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23.41.3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статуэток и прочих декоративных керамических изделий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32.1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ювелирных изделий, бижутерии и подобных товаров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32.99.8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изделий народных художественных промыслов</w:t>
                  </w:r>
                </w:p>
              </w:tc>
            </w:tr>
          </w:tbl>
          <w:p w:rsidR="00C6638A" w:rsidRDefault="00C6638A">
            <w:pPr>
              <w:jc w:val="both"/>
            </w:pPr>
          </w:p>
          <w:p w:rsidR="00C6638A" w:rsidRDefault="00FC2699">
            <w:pPr>
              <w:ind w:firstLine="397"/>
              <w:jc w:val="both"/>
            </w:pPr>
            <w:r>
              <w:t>3.4. по направлению, указанному в подпункте 1.4 Извещения, должны осуществлять деятельность, в том числе по следующим ОКВЭД:</w:t>
            </w:r>
          </w:p>
          <w:tbl>
            <w:tblPr>
              <w:tblW w:w="9071" w:type="dxa"/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1871"/>
              <w:gridCol w:w="6635"/>
            </w:tblGrid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туристических агентств и туроператоров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18.1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полиграфическая и предоставление услуг в этой области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32.4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игр и игрушек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58.1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Издание книг, периодических публикаций и другие виды издательской деятельности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59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Производство кинофильмов, видеофильмов и телевизионных программ, издание звукозаписей и нот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60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в области телевизионного и радиовещания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63.91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информационных агентств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рекламная и исследование конъюнктуры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9.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79.90.1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предоставлению туристических информационных услуг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10.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79.90.2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предоставлению экскурсионных туристических услуг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11.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82.3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по организации конференций и выставок</w:t>
                  </w:r>
                </w:p>
              </w:tc>
            </w:tr>
            <w:tr w:rsidR="00C6638A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12.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93.2</w:t>
                  </w:r>
                </w:p>
              </w:tc>
              <w:tc>
                <w:tcPr>
                  <w:tcW w:w="6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638A" w:rsidRDefault="00FC2699">
                  <w:pPr>
                    <w:jc w:val="both"/>
                  </w:pPr>
                  <w:r>
                    <w:t>Деятельность в области отдыха и развлечений</w:t>
                  </w:r>
                </w:p>
              </w:tc>
            </w:tr>
          </w:tbl>
          <w:p w:rsidR="00C6638A" w:rsidRDefault="00C6638A">
            <w:pPr>
              <w:jc w:val="both"/>
            </w:pPr>
          </w:p>
          <w:p w:rsidR="00C6638A" w:rsidRDefault="00FC2699">
            <w:pPr>
              <w:ind w:firstLine="397"/>
              <w:jc w:val="both"/>
            </w:pPr>
            <w:r>
              <w:t>а)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б)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      </w:r>
          </w:p>
          <w:p w:rsidR="00C6638A" w:rsidRDefault="00FC2699">
            <w:pPr>
              <w:ind w:firstLine="397"/>
              <w:jc w:val="both"/>
            </w:pPr>
            <w:r>
              <w:t xml:space="preserve">в)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r>
              <w:lastRenderedPageBreak/>
      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C6638A" w:rsidRDefault="00FC2699">
            <w:pPr>
              <w:ind w:firstLine="397"/>
              <w:jc w:val="both"/>
            </w:pPr>
            <w:r>
              <w:t>г)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      </w:r>
          </w:p>
          <w:p w:rsidR="00C6638A" w:rsidRDefault="00FC2699">
            <w:pPr>
              <w:ind w:firstLine="397"/>
              <w:jc w:val="both"/>
            </w:pPr>
            <w:r>
              <w:t>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      </w:r>
          </w:p>
          <w:p w:rsidR="00C6638A" w:rsidRDefault="00FC2699">
            <w:pPr>
              <w:ind w:firstLine="397"/>
              <w:jc w:val="both"/>
            </w:pPr>
            <w:r>
              <w:t xml:space="preserve">Размер софинансирования (собственных средств) соискателя по направлениям, указанным в </w:t>
            </w:r>
            <w:r>
              <w:rPr>
                <w:rStyle w:val="ListLabel28"/>
                <w:sz w:val="24"/>
                <w:szCs w:val="24"/>
              </w:rPr>
              <w:t>пункте 1 Извещения</w:t>
            </w:r>
            <w:r>
              <w:t>, должен составлять не менее 50% от суммы сметы по проекту на грант.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Для участия в Конкурсе соискатель направляет в адрес Департамента промышленности Ханты-Мансийского автономного округа – Югры (далее — Департамент) конкурсную документацию: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4.1. Сопроводительное письмо на имя директора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4.2. Заявку на участие в Конкурсе по форме, утвержденной приказом Департамента финансов автономного округа.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4.3. Паспорт проекта по форме, утвержденной приказом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4.4. Смету расходов по проекту на грант по форме, утвержденной приказом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4.5. 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со дня заключения Соглашения.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4.6. Бизнес-план (технико-экономическое обоснование).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4.7. Проект строительства, в который входят чертежи, с указанием размера помещений, их планировка, схему и карту расположения объекта, для проектов по направлениям, указанным в подпунктах 1.1-1.3 Извещения (в случае строительства мастерской).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4.8. </w:t>
            </w:r>
            <w:r>
              <w:rPr>
                <w:szCs w:val="22"/>
              </w:rPr>
              <w:t>Справку, подтверждающую отсутствие у соискателя на первое число месяца, в котором подается Заявка, просроченной задолженности по субсидиям, бюджетным инвестициям и иным средствам, предоставленным из бюджета Ханты-Мансийского автономного округа –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формой, утвержденной Департаментом финансов автономного округа.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Соискатель вправе представить в Департамент следующие документы: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4.9. Выписку из Единого федерального реестра туроператоров (при осуществлении туроператорской деятельности).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4.10. Правоустанавливающие документы на земельные участки.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выписку из Единого реестра субъектов малого и среднего предпринимательства.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4.11. Документы, представленные не в полном объеме либо поступившие после окончания установленного срока приема заявок, не рассматриваются.</w:t>
            </w:r>
          </w:p>
        </w:tc>
      </w:tr>
      <w:tr w:rsidR="00C6638A">
        <w:trPr>
          <w:trHeight w:val="2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b"/>
              <w:spacing w:after="0"/>
              <w:ind w:left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Проведение Конкурса осуществляется в 4 этапа.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На первом этапе конкурсная документация, поступившая в Департамент, регистрируется в день поступления в журнале регистрации, форма которого утверждается приказом Департамента и передается секретарю Комиссии.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На втором этапе Комиссия в течение 8 рабочих дней со дня окончания приема конкурсной документации осуществляет проверку предоставленных документов и дает заключение о соответствии (несоответствии) требованиям, установленным Порядком. В случае вынесения заключения о несоответствии представленных документов требованиям </w:t>
            </w:r>
            <w:r>
              <w:lastRenderedPageBreak/>
              <w:t>Порядка, соискателю в течение 5 рабочих дней с даты вынесения заключения Комиссии в письменной форме направляется уведомление с указанием причины несоответствия.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На третьем этапе в течение 1 рабочего дня после проверки представленной конкурсной документации секретарь Комиссии передает ее на рассмотрение экспертам, которых определяет Комиссия, для подготовки экспертного заключения на проект и его финансово-экономического анализа, анализа туристской привлекательности с указанием отрицательных и положительных сторон в соответствии с методикой проведения экспертизы, утвержденной приказом Департамента.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Информация о прохождении экспертизы является строго конфиденциальной. Соискатели не имеют права знать, кто из экспертов рассматривает их конкурсную документацию. Срок подготовки экспертом заключения, форма которого утверждается Департаментом, не может превышать 7 рабочих дней с момента поступления документов к нему на экспертизу. Комиссия передает подготовленное экспертом заключение секретарю Совета в течение 1 ра</w:t>
            </w:r>
            <w:r>
              <w:t>бочего дня с момента подготовки заключения.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На четвертом этапе Советом осуществляется рассмотрение конкурсной документации и определение грантополучателей.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Конкурсная документация рассматривается Советом в форме открытой (публичной) защиты.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Секретарь Комиссии не позднее чем за 8 рабочих дней до дня проведения открытой (публичной) защиты письменно извещает соискателя о дате, времени и месте проведения открытой (публичной) защиты.</w:t>
            </w:r>
            <w:r>
              <w:t xml:space="preserve"> 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Защита осуществляется в присутствии общественности, с приглашением средств массовой информации. Время публичной защиты составляет не более 10 минут.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В процессе защиты соискателю предоставляется мультимедийное оборудование для демонстрации видео-, фоторяда, слайдов, текстовых файлов. Соискатель вправе предоставить макеты, образцы продукции.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Перед открытой (публичной) защитой председательствующий на заседании Совета озвучивает заключения, поступившие от экспертов.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Процесс обсуждения составляет не более 15 минут, в течение которого могут поступать вопросы не только от членов Совета, но и от присутствующих на открытой (публичной) защите.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После открытой (публичной) защиты всех проектов и подведения итогов Конкурса председательствующий на заседании Совета озвучивает всем участникам Конкурса и присутствующим на открытой (публичной) защите мнение всех членов Совета о сильных и слабых сторонах проекта.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 xml:space="preserve">Оценка конкурсной документации осуществляется членами Совета по балльной системе в соответствии с критериями, указанными в </w:t>
            </w:r>
            <w:hyperlink r:id="rId4" w:anchor="P4602" w:history="1">
              <w:r>
                <w:rPr>
                  <w:rStyle w:val="ListLabel28"/>
                  <w:sz w:val="24"/>
                  <w:szCs w:val="24"/>
                </w:rPr>
                <w:t>пункте 6</w:t>
              </w:r>
            </w:hyperlink>
            <w:r>
              <w:t xml:space="preserve"> (от 1 до 5 баллов по каждому критерию). Победителем Конкурса по по направлениям, указанным в пункте 1.10 Порядка, может быть признан соискатель, среднее суммарное значение баллов конкурсной документации которого – не менее 40 баллов.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t>Каждый член Совета осуществляет оценку конкурсной документации, заполняя оценочный лист по форме, утвержденной приказом Департамента, который сдается секретарю Совета непосредственно после открытой (публичной) защиты.</w:t>
            </w:r>
          </w:p>
          <w:p w:rsidR="00C6638A" w:rsidRDefault="00FC2699">
            <w:pPr>
              <w:shd w:val="clear" w:color="auto" w:fill="FFFFFF"/>
              <w:ind w:firstLine="397"/>
              <w:jc w:val="both"/>
            </w:pPr>
            <w:r>
              <w:rPr>
                <w:szCs w:val="22"/>
              </w:rPr>
              <w:t>В случае, если по итогам открытой (публичной) защиты были выявлены победители Конкурса не по всем степеням гранта по направлениям, указанным в пункте 1 Извещения, Департамент вправе объявить повторное проведение Конкурса.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Критерии оценки проектов: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6.1. Соответствие задач проекта приоритетам Конкурса.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6.2. Создание новых рабочих мест.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6.3. Социальная значимость результатов проекта.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6.4. Обоснование объема запрашиваемых средств.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6.5. Кадровый потенциал.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6.6. Транспортная доступность представляемого проекта (наличие автомобильной дороги).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6.7. Сезонность действия проекта.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6.8. Размер собственных средств, вкладываемых в реализацию проекта.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6.9. Вовлечение в реализацию проекта организаций сопутствующей индустрии.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6.10. Индекс доходности.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6.11. Срок окупаемости.</w:t>
            </w:r>
          </w:p>
          <w:p w:rsidR="00C6638A" w:rsidRDefault="00FC2699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6.12. Имеющиеся ресурсы.</w:t>
            </w:r>
          </w:p>
        </w:tc>
      </w:tr>
      <w:tr w:rsidR="00C6638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lastRenderedPageBreak/>
              <w:t>7.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8A" w:rsidRDefault="00FC2699">
            <w:pPr>
              <w:ind w:firstLine="397"/>
              <w:jc w:val="both"/>
            </w:pPr>
            <w:r>
              <w:t>Порядок и сроки объявления результатов Конкурса:</w:t>
            </w:r>
          </w:p>
          <w:p w:rsidR="00C6638A" w:rsidRDefault="00FC2699">
            <w:pPr>
              <w:ind w:firstLine="397"/>
              <w:jc w:val="both"/>
            </w:pPr>
            <w:r>
              <w:t>В день проведения открытой (публичной) защиты секретарь Совета на основании оценочных листов заполняет итоговую ведомость по форме, утвержденной приказом Департамента, в которой определяется суммарное значение баллов. Секретарь Совета в течение 3 рабочих дней размещает итоговую ведомость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C6638A" w:rsidRDefault="00FC2699">
            <w:pPr>
              <w:ind w:firstLine="397"/>
              <w:jc w:val="both"/>
            </w:pPr>
            <w:r>
              <w:t>В соответствии с итоговой ведомостью Совет принимает решение о победителях Конкурса, которое отражается в протоколе по форме, утвержденной приказом Департамента. Подготовка протокола осуществляется секретарем Совета в течение 3 рабочих дней со дня проведения открытой (публичной) защиты.</w:t>
            </w:r>
          </w:p>
          <w:p w:rsidR="00C6638A" w:rsidRDefault="00FC2699">
            <w:pPr>
              <w:ind w:firstLine="397"/>
              <w:jc w:val="both"/>
            </w:pPr>
            <w:r>
              <w:t>Департамент в течение 3 рабочих дней, после подписания протокола председательствующим и секретарем Совета, размещает протокол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C6638A" w:rsidRDefault="00FC2699">
            <w:pPr>
              <w:ind w:firstLine="397"/>
              <w:jc w:val="both"/>
            </w:pPr>
            <w:r>
              <w:t>Департамент в течение 10 рабочих дней со дня подписания протокола издает приказ о присуждении гранта, в котором содержится информация о грантополучателе (наименование организации, реквизиты), направление и степень гранта, сумма гранта.</w:t>
            </w:r>
          </w:p>
        </w:tc>
      </w:tr>
    </w:tbl>
    <w:p w:rsidR="00C6638A" w:rsidRDefault="00C6638A">
      <w:pPr>
        <w:jc w:val="right"/>
      </w:pPr>
    </w:p>
    <w:sectPr w:rsidR="00C6638A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7061E0"/>
    <w:rsid w:val="00C6638A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9ECE-3917-43BD-A6A3-366178E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:\Users\SLUHAE~1\AppData\Local\Temp\%25D0%259F%25D1%2580%25D0%25B8%25D0%25BB%25D0%25BE%25D0%25B6%25D0%25B5%25D0%25BD%25D0%25B8%25D0%25B5%2010%20%25D0%259F%25D0%25BE%25D1%2580%25D1%258F%25D0%25B4%25D0%25BE%25D0%25BA%20%25D0%25BF%25D0%25BE%20%25D0%25B3%25D1%2580%25D0%25B0%25D0%25BD%25D1%2582%25D0%25B0%25D0%25BC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Шихман Татьяна Анатольевна</cp:lastModifiedBy>
  <cp:revision>2</cp:revision>
  <cp:lastPrinted>2018-01-10T12:35:00Z</cp:lastPrinted>
  <dcterms:created xsi:type="dcterms:W3CDTF">2020-02-17T07:49:00Z</dcterms:created>
  <dcterms:modified xsi:type="dcterms:W3CDTF">2020-02-17T07:49:00Z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